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B75B43"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B75B43">
        <w:rPr>
          <w:rFonts w:ascii="Arial" w:hAnsi="Arial" w:cs="Arial"/>
          <w:color w:val="4BACC6" w:themeColor="accent5"/>
          <w:sz w:val="24"/>
          <w:szCs w:val="24"/>
        </w:rPr>
        <w:t xml:space="preserve">        </w:t>
      </w:r>
      <w:r w:rsidR="00266ADC" w:rsidRPr="00B75B43">
        <w:rPr>
          <w:rFonts w:ascii="Arial" w:hAnsi="Arial" w:cs="Arial"/>
          <w:color w:val="4BACC6" w:themeColor="accent5"/>
          <w:sz w:val="24"/>
          <w:szCs w:val="24"/>
        </w:rPr>
        <w:t xml:space="preserve">                                                                       </w:t>
      </w:r>
      <w:r w:rsidR="00C7664A" w:rsidRPr="00B75B43">
        <w:rPr>
          <w:rFonts w:ascii="Arial" w:hAnsi="Arial" w:cs="Arial"/>
          <w:color w:val="4BACC6" w:themeColor="accent5"/>
          <w:sz w:val="24"/>
          <w:szCs w:val="24"/>
        </w:rPr>
        <w:t xml:space="preserve">                        </w:t>
      </w:r>
      <w:r w:rsidR="00C0019F" w:rsidRPr="00B75B43">
        <w:rPr>
          <w:rFonts w:ascii="Arial" w:hAnsi="Arial" w:cs="Arial"/>
          <w:color w:val="4BACC6" w:themeColor="accent5"/>
          <w:sz w:val="24"/>
          <w:szCs w:val="24"/>
        </w:rPr>
        <w:t xml:space="preserve">               </w:t>
      </w:r>
      <w:r w:rsidR="00B84B92" w:rsidRPr="00B75B43">
        <w:rPr>
          <w:rFonts w:ascii="Arial" w:hAnsi="Arial" w:cs="Arial"/>
          <w:color w:val="4BACC6" w:themeColor="accent5"/>
          <w:sz w:val="24"/>
          <w:szCs w:val="24"/>
        </w:rPr>
        <w:t xml:space="preserve">   </w:t>
      </w:r>
      <w:r w:rsidR="000A4F5D" w:rsidRPr="00B75B43">
        <w:rPr>
          <w:rFonts w:ascii="Arial" w:hAnsi="Arial" w:cs="Arial"/>
          <w:color w:val="4BACC6" w:themeColor="accent5"/>
          <w:sz w:val="24"/>
          <w:szCs w:val="24"/>
        </w:rPr>
        <w:t xml:space="preserve">  </w:t>
      </w:r>
      <w:r w:rsidR="008D0A3C" w:rsidRPr="00B75B43">
        <w:rPr>
          <w:rFonts w:ascii="Arial" w:hAnsi="Arial" w:cs="Arial"/>
          <w:color w:val="4BACC6" w:themeColor="accent5"/>
          <w:sz w:val="24"/>
          <w:szCs w:val="24"/>
        </w:rPr>
        <w:t xml:space="preserve">    </w:t>
      </w:r>
      <w:r w:rsidR="006F5A3A" w:rsidRPr="00B75B43">
        <w:rPr>
          <w:rFonts w:ascii="Arial" w:hAnsi="Arial" w:cs="Arial"/>
          <w:color w:val="4BACC6" w:themeColor="accent5"/>
          <w:sz w:val="24"/>
          <w:szCs w:val="24"/>
        </w:rPr>
        <w:t xml:space="preserve">        </w:t>
      </w:r>
      <w:r w:rsidR="00F14988" w:rsidRPr="00B75B43">
        <w:rPr>
          <w:rFonts w:ascii="Arial" w:hAnsi="Arial" w:cs="Arial"/>
          <w:color w:val="4BACC6" w:themeColor="accent5"/>
          <w:sz w:val="24"/>
          <w:szCs w:val="24"/>
        </w:rPr>
        <w:t xml:space="preserve">     </w:t>
      </w:r>
      <w:bookmarkStart w:id="0" w:name="_Hlk500937475"/>
      <w:r w:rsidR="00A04BCB" w:rsidRPr="00B75B43">
        <w:rPr>
          <w:rFonts w:ascii="Arial" w:hAnsi="Arial" w:cs="Arial"/>
          <w:color w:val="4BACC6" w:themeColor="accent5"/>
          <w:sz w:val="24"/>
          <w:szCs w:val="24"/>
        </w:rPr>
        <w:t xml:space="preserve">San Luis Potosí, </w:t>
      </w:r>
      <w:r w:rsidR="002D0070" w:rsidRPr="00B75B43">
        <w:rPr>
          <w:rFonts w:ascii="Arial" w:hAnsi="Arial" w:cs="Arial"/>
          <w:color w:val="4BACC6" w:themeColor="accent5"/>
          <w:sz w:val="24"/>
          <w:szCs w:val="24"/>
        </w:rPr>
        <w:t>S.L.P.</w:t>
      </w:r>
      <w:r w:rsidR="00A04BCB" w:rsidRPr="00B75B43">
        <w:rPr>
          <w:rFonts w:ascii="Arial" w:hAnsi="Arial" w:cs="Arial"/>
          <w:color w:val="4BACC6" w:themeColor="accent5"/>
          <w:sz w:val="24"/>
          <w:szCs w:val="24"/>
        </w:rPr>
        <w:t xml:space="preserve">, </w:t>
      </w:r>
      <w:r w:rsidR="001D1822">
        <w:rPr>
          <w:rFonts w:ascii="Arial" w:hAnsi="Arial" w:cs="Arial"/>
          <w:color w:val="4BACC6" w:themeColor="accent5"/>
          <w:sz w:val="24"/>
          <w:szCs w:val="24"/>
        </w:rPr>
        <w:t>dieciséis</w:t>
      </w:r>
      <w:r w:rsidR="005C7BA1" w:rsidRPr="00B75B43">
        <w:rPr>
          <w:rFonts w:ascii="Arial" w:hAnsi="Arial" w:cs="Arial"/>
          <w:color w:val="4BACC6" w:themeColor="accent5"/>
          <w:sz w:val="24"/>
          <w:szCs w:val="24"/>
        </w:rPr>
        <w:t xml:space="preserve"> de </w:t>
      </w:r>
      <w:r w:rsidR="00521EFB" w:rsidRPr="00B75B43">
        <w:rPr>
          <w:rFonts w:ascii="Arial" w:hAnsi="Arial" w:cs="Arial"/>
          <w:color w:val="4BACC6" w:themeColor="accent5"/>
          <w:sz w:val="24"/>
          <w:szCs w:val="24"/>
        </w:rPr>
        <w:t>febrero</w:t>
      </w:r>
      <w:r w:rsidR="005C7BA1" w:rsidRPr="00B75B43">
        <w:rPr>
          <w:rFonts w:ascii="Arial" w:hAnsi="Arial" w:cs="Arial"/>
          <w:color w:val="4BACC6" w:themeColor="accent5"/>
          <w:sz w:val="24"/>
          <w:szCs w:val="24"/>
        </w:rPr>
        <w:t xml:space="preserve"> de dos mil </w:t>
      </w:r>
      <w:r w:rsidR="00B4587C" w:rsidRPr="00B75B43">
        <w:rPr>
          <w:rFonts w:ascii="Arial" w:hAnsi="Arial" w:cs="Arial"/>
          <w:color w:val="4BACC6" w:themeColor="accent5"/>
          <w:sz w:val="24"/>
          <w:szCs w:val="24"/>
        </w:rPr>
        <w:t>dieci</w:t>
      </w:r>
      <w:r w:rsidR="00521EFB" w:rsidRPr="00B75B43">
        <w:rPr>
          <w:rFonts w:ascii="Arial" w:hAnsi="Arial" w:cs="Arial"/>
          <w:color w:val="4BACC6" w:themeColor="accent5"/>
          <w:sz w:val="24"/>
          <w:szCs w:val="24"/>
        </w:rPr>
        <w:t>ocho</w:t>
      </w:r>
      <w:r w:rsidR="00A04BCB" w:rsidRPr="00B75B43">
        <w:rPr>
          <w:rFonts w:ascii="Arial" w:hAnsi="Arial" w:cs="Arial"/>
          <w:color w:val="4BACC6" w:themeColor="accent5"/>
          <w:sz w:val="24"/>
          <w:szCs w:val="24"/>
        </w:rPr>
        <w:t>.</w:t>
      </w:r>
      <w:r w:rsidR="006F5A3A" w:rsidRPr="00B75B43">
        <w:rPr>
          <w:rFonts w:ascii="Arial" w:hAnsi="Arial" w:cs="Arial"/>
          <w:color w:val="4BACC6" w:themeColor="accent5"/>
          <w:sz w:val="24"/>
          <w:szCs w:val="24"/>
        </w:rPr>
        <w:t xml:space="preserve">    </w:t>
      </w:r>
    </w:p>
    <w:p w:rsidR="00AC1F24" w:rsidRPr="00B75B43"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B75B43" w:rsidRDefault="0038176B"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Visto el estado que guardan los presentes autos y de una revisión a las constancias que integran el expediente c</w:t>
      </w:r>
      <w:r w:rsidR="00774BC8" w:rsidRPr="00B75B43">
        <w:rPr>
          <w:rFonts w:ascii="Arial" w:hAnsi="Arial" w:cs="Arial"/>
          <w:color w:val="4BACC6" w:themeColor="accent5"/>
          <w:sz w:val="24"/>
          <w:szCs w:val="24"/>
        </w:rPr>
        <w:t>o</w:t>
      </w:r>
      <w:r w:rsidR="001A14C5" w:rsidRPr="00B75B43">
        <w:rPr>
          <w:rFonts w:ascii="Arial" w:hAnsi="Arial" w:cs="Arial"/>
          <w:color w:val="4BACC6" w:themeColor="accent5"/>
          <w:sz w:val="24"/>
          <w:szCs w:val="24"/>
        </w:rPr>
        <w:t>n fundamento en los artículos 8°, 10°, 27° primer párrafo, 184 y 185 de la Ley de Transparencia y Acceso a la Información Pública del Estado, es</w:t>
      </w:r>
      <w:r w:rsidRPr="00B75B43">
        <w:rPr>
          <w:rFonts w:ascii="Arial" w:hAnsi="Arial" w:cs="Arial"/>
          <w:color w:val="4BACC6" w:themeColor="accent5"/>
          <w:sz w:val="24"/>
          <w:szCs w:val="24"/>
        </w:rPr>
        <w:t xml:space="preserve">ta Comisión procede a analizar el presente sumario </w:t>
      </w:r>
      <w:r w:rsidR="001A14C5" w:rsidRPr="00B75B43">
        <w:rPr>
          <w:rFonts w:ascii="Arial" w:hAnsi="Arial" w:cs="Arial"/>
          <w:color w:val="4BACC6" w:themeColor="accent5"/>
          <w:sz w:val="24"/>
          <w:szCs w:val="24"/>
        </w:rPr>
        <w:t>a efecto de determinar el cumplimi</w:t>
      </w:r>
      <w:r w:rsidRPr="00B75B43">
        <w:rPr>
          <w:rFonts w:ascii="Arial" w:hAnsi="Arial" w:cs="Arial"/>
          <w:color w:val="4BACC6" w:themeColor="accent5"/>
          <w:sz w:val="24"/>
          <w:szCs w:val="24"/>
        </w:rPr>
        <w:t>ento o incumplimiento a la resolu</w:t>
      </w:r>
      <w:r w:rsidR="001A3205" w:rsidRPr="00B75B43">
        <w:rPr>
          <w:rFonts w:ascii="Arial" w:hAnsi="Arial" w:cs="Arial"/>
          <w:color w:val="4BACC6" w:themeColor="accent5"/>
          <w:sz w:val="24"/>
          <w:szCs w:val="24"/>
        </w:rPr>
        <w:t>ción dictada en el recurso de rev</w:t>
      </w:r>
      <w:r w:rsidR="00F35188" w:rsidRPr="00B75B43">
        <w:rPr>
          <w:rFonts w:ascii="Arial" w:hAnsi="Arial" w:cs="Arial"/>
          <w:color w:val="4BACC6" w:themeColor="accent5"/>
          <w:sz w:val="24"/>
          <w:szCs w:val="24"/>
        </w:rPr>
        <w:t xml:space="preserve">isión que se </w:t>
      </w:r>
      <w:r w:rsidR="002D371A" w:rsidRPr="00B75B43">
        <w:rPr>
          <w:rFonts w:ascii="Arial" w:hAnsi="Arial" w:cs="Arial"/>
          <w:color w:val="4BACC6" w:themeColor="accent5"/>
          <w:sz w:val="24"/>
          <w:szCs w:val="24"/>
        </w:rPr>
        <w:t>actúa.</w:t>
      </w:r>
    </w:p>
    <w:p w:rsidR="002D371A" w:rsidRPr="00B75B43" w:rsidRDefault="001A14C5"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En p</w:t>
      </w:r>
      <w:r w:rsidR="002D371A" w:rsidRPr="00B75B43">
        <w:rPr>
          <w:rFonts w:ascii="Arial" w:hAnsi="Arial" w:cs="Arial"/>
          <w:color w:val="4BACC6" w:themeColor="accent5"/>
          <w:sz w:val="24"/>
          <w:szCs w:val="24"/>
        </w:rPr>
        <w:t>rimer lugar, es necesario insertar los efectos dictados en la resolución:</w:t>
      </w:r>
    </w:p>
    <w:p w:rsidR="00090736" w:rsidRPr="00B75B43" w:rsidRDefault="00090736"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“…5.5. sentido y efectos de la resolución.</w:t>
      </w:r>
    </w:p>
    <w:p w:rsidR="0039642A" w:rsidRPr="00B75B43" w:rsidRDefault="0039642A" w:rsidP="007B520C">
      <w:pPr>
        <w:pStyle w:val="corte4fondo"/>
        <w:tabs>
          <w:tab w:val="left" w:pos="567"/>
        </w:tabs>
        <w:spacing w:line="240" w:lineRule="auto"/>
        <w:rPr>
          <w:rFonts w:cs="Arial"/>
          <w:i/>
          <w:color w:val="4BACC6" w:themeColor="accent5"/>
          <w:sz w:val="22"/>
          <w:szCs w:val="22"/>
        </w:rPr>
      </w:pPr>
    </w:p>
    <w:p w:rsidR="00090736" w:rsidRPr="00B75B43" w:rsidRDefault="00090736"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En las condiciones anotadas y, al haber resultado fundado el agravio que hizo valer el recurrente, lo procedente es que esta Comisión Estatal de </w:t>
      </w:r>
      <w:r w:rsidR="003047E5" w:rsidRPr="00B75B43">
        <w:rPr>
          <w:rFonts w:cs="Arial"/>
          <w:i/>
          <w:color w:val="4BACC6" w:themeColor="accent5"/>
          <w:sz w:val="22"/>
          <w:szCs w:val="22"/>
        </w:rPr>
        <w:t>Garantía</w:t>
      </w:r>
      <w:r w:rsidRPr="00B75B43">
        <w:rPr>
          <w:rFonts w:cs="Arial"/>
          <w:i/>
          <w:color w:val="4BACC6" w:themeColor="accent5"/>
          <w:sz w:val="22"/>
          <w:szCs w:val="22"/>
        </w:rPr>
        <w:t xml:space="preserve"> de Acceso a la Información Pública de conformidad con el artículo 164 de la Ley de Transparencia y Acceso a la Información Pública </w:t>
      </w:r>
      <w:r w:rsidR="003047E5" w:rsidRPr="00B75B43">
        <w:rPr>
          <w:rFonts w:cs="Arial"/>
          <w:i/>
          <w:color w:val="4BACC6" w:themeColor="accent5"/>
          <w:sz w:val="22"/>
          <w:szCs w:val="22"/>
        </w:rPr>
        <w:t xml:space="preserve">del Estado </w:t>
      </w:r>
      <w:r w:rsidRPr="00B75B43">
        <w:rPr>
          <w:rFonts w:cs="Arial"/>
          <w:i/>
          <w:color w:val="4BACC6" w:themeColor="accent5"/>
          <w:sz w:val="22"/>
          <w:szCs w:val="22"/>
        </w:rPr>
        <w:t>aplica el principio de afirmativa ficta y por lo tanto conmina al sujeto obligado para que entregue al solicitante la información sobre:</w:t>
      </w:r>
    </w:p>
    <w:p w:rsidR="003047E5" w:rsidRPr="00B75B43" w:rsidRDefault="00090736"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  </w:t>
      </w:r>
      <w:r w:rsidR="003047E5" w:rsidRPr="00B75B43">
        <w:rPr>
          <w:rFonts w:cs="Arial"/>
          <w:i/>
          <w:color w:val="4BACC6" w:themeColor="accent5"/>
          <w:sz w:val="22"/>
          <w:szCs w:val="22"/>
        </w:rPr>
        <w:t>“esquema de procedimientos que se llevan a cabo para dar respuesta a las solicitudes de información pública y reservada, así como los fundamentos legales en cada proceso</w:t>
      </w:r>
      <w:r w:rsidR="0039642A" w:rsidRPr="00B75B43">
        <w:rPr>
          <w:rFonts w:cs="Arial"/>
          <w:i/>
          <w:color w:val="4BACC6" w:themeColor="accent5"/>
          <w:sz w:val="22"/>
          <w:szCs w:val="22"/>
        </w:rPr>
        <w:t>.</w:t>
      </w:r>
    </w:p>
    <w:p w:rsidR="003047E5" w:rsidRPr="00B75B43" w:rsidRDefault="003047E5" w:rsidP="007B520C">
      <w:pPr>
        <w:pStyle w:val="corte4fondo"/>
        <w:tabs>
          <w:tab w:val="left" w:pos="567"/>
        </w:tabs>
        <w:spacing w:line="240" w:lineRule="auto"/>
        <w:rPr>
          <w:rFonts w:cs="Arial"/>
          <w:i/>
          <w:color w:val="4BACC6" w:themeColor="accent5"/>
          <w:sz w:val="22"/>
          <w:szCs w:val="22"/>
        </w:rPr>
      </w:pPr>
    </w:p>
    <w:p w:rsidR="003047E5" w:rsidRPr="00B75B43" w:rsidRDefault="003047E5"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 DICHA INFORMACIÓN PRESENTARLA EN UN DIAGRAMA DE FLUJO (Sic)</w:t>
      </w:r>
      <w:r w:rsidR="0039642A" w:rsidRPr="00B75B43">
        <w:rPr>
          <w:rFonts w:cs="Arial"/>
          <w:i/>
          <w:color w:val="4BACC6" w:themeColor="accent5"/>
          <w:sz w:val="22"/>
          <w:szCs w:val="22"/>
        </w:rPr>
        <w:t>”</w:t>
      </w:r>
      <w:r w:rsidRPr="00B75B43">
        <w:rPr>
          <w:rFonts w:cs="Arial"/>
          <w:i/>
          <w:color w:val="4BACC6" w:themeColor="accent5"/>
          <w:sz w:val="22"/>
          <w:szCs w:val="22"/>
        </w:rPr>
        <w:t>.</w:t>
      </w:r>
    </w:p>
    <w:p w:rsidR="003047E5" w:rsidRPr="00B75B43" w:rsidRDefault="003047E5" w:rsidP="007B520C">
      <w:pPr>
        <w:pStyle w:val="corte4fondo"/>
        <w:tabs>
          <w:tab w:val="left" w:pos="567"/>
        </w:tabs>
        <w:spacing w:line="240" w:lineRule="auto"/>
        <w:rPr>
          <w:rFonts w:cs="Arial"/>
          <w:i/>
          <w:color w:val="4BACC6" w:themeColor="accent5"/>
          <w:sz w:val="22"/>
          <w:szCs w:val="22"/>
        </w:rPr>
      </w:pPr>
    </w:p>
    <w:p w:rsidR="003047E5" w:rsidRPr="00B75B43" w:rsidRDefault="003047E5"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De conformidad con la ultima parte del artículo 176 de la Ley de Transparencia esta Comisión de Transparencia establece los siguientes términos para el cumplimiento de la resolución.</w:t>
      </w:r>
    </w:p>
    <w:p w:rsidR="003047E5" w:rsidRPr="00B75B43" w:rsidRDefault="003047E5" w:rsidP="007B520C">
      <w:pPr>
        <w:pStyle w:val="corte4fondo"/>
        <w:tabs>
          <w:tab w:val="left" w:pos="567"/>
        </w:tabs>
        <w:spacing w:line="240" w:lineRule="auto"/>
        <w:rPr>
          <w:rFonts w:cs="Arial"/>
          <w:i/>
          <w:color w:val="4BACC6" w:themeColor="accent5"/>
          <w:sz w:val="22"/>
          <w:szCs w:val="22"/>
        </w:rPr>
      </w:pPr>
    </w:p>
    <w:p w:rsidR="003047E5" w:rsidRPr="00B75B43" w:rsidRDefault="003047E5"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En cuanto a lo ordenado, se reitera que la información debe de entregarse en la modalidad solicitada y, en caso de que el sujeto obligado </w:t>
      </w:r>
      <w:r w:rsidR="0039642A" w:rsidRPr="00B75B43">
        <w:rPr>
          <w:rFonts w:cs="Arial"/>
          <w:i/>
          <w:color w:val="4BACC6" w:themeColor="accent5"/>
          <w:sz w:val="22"/>
          <w:szCs w:val="22"/>
        </w:rPr>
        <w:t xml:space="preserve">no contenga la información en esa modalidad, entonces deberá de permitir la reproducción gratuita de toda la información. En el entendido que en el último supuesto deberá de proporcionar lugar y horarios de atención al público, personas que lo atenderán, así como todos aquellos elementos que permitan y faciliten la entrega gratuita de la información.”   </w:t>
      </w:r>
      <w:r w:rsidRPr="00B75B43">
        <w:rPr>
          <w:rFonts w:cs="Arial"/>
          <w:i/>
          <w:color w:val="4BACC6" w:themeColor="accent5"/>
          <w:sz w:val="22"/>
          <w:szCs w:val="22"/>
        </w:rPr>
        <w:t xml:space="preserve"> </w:t>
      </w:r>
    </w:p>
    <w:p w:rsidR="003047E5" w:rsidRPr="00B75B43" w:rsidRDefault="003047E5" w:rsidP="007B520C">
      <w:pPr>
        <w:pStyle w:val="corte4fondo"/>
        <w:tabs>
          <w:tab w:val="left" w:pos="567"/>
        </w:tabs>
        <w:spacing w:line="240" w:lineRule="auto"/>
        <w:rPr>
          <w:rFonts w:cs="Arial"/>
          <w:i/>
          <w:color w:val="4BACC6" w:themeColor="accent5"/>
          <w:sz w:val="18"/>
          <w:szCs w:val="18"/>
        </w:rPr>
      </w:pPr>
    </w:p>
    <w:p w:rsidR="007B520C" w:rsidRPr="00B75B43" w:rsidRDefault="00467AA8" w:rsidP="007B520C">
      <w:pPr>
        <w:pStyle w:val="corte4fondo"/>
        <w:tabs>
          <w:tab w:val="left" w:pos="567"/>
        </w:tabs>
        <w:spacing w:line="240" w:lineRule="auto"/>
        <w:rPr>
          <w:rFonts w:cs="Arial"/>
          <w:i/>
          <w:color w:val="4BACC6" w:themeColor="accent5"/>
          <w:sz w:val="18"/>
          <w:szCs w:val="18"/>
        </w:rPr>
      </w:pPr>
      <w:r w:rsidRPr="00B75B43">
        <w:rPr>
          <w:rFonts w:cs="Arial"/>
          <w:i/>
          <w:color w:val="4BACC6" w:themeColor="accent5"/>
          <w:sz w:val="18"/>
          <w:szCs w:val="18"/>
        </w:rPr>
        <w:t xml:space="preserve"> </w:t>
      </w:r>
    </w:p>
    <w:p w:rsidR="002231D3" w:rsidRPr="00B75B43" w:rsidRDefault="002231D3" w:rsidP="00803BF0">
      <w:pPr>
        <w:pStyle w:val="corte4fondo"/>
        <w:tabs>
          <w:tab w:val="left" w:pos="567"/>
        </w:tabs>
        <w:spacing w:line="240" w:lineRule="auto"/>
        <w:ind w:firstLine="0"/>
        <w:rPr>
          <w:rFonts w:cs="Arial"/>
          <w:i/>
          <w:color w:val="4BACC6" w:themeColor="accent5"/>
          <w:sz w:val="20"/>
        </w:rPr>
      </w:pPr>
    </w:p>
    <w:p w:rsidR="00352A7B" w:rsidRPr="00B75B43" w:rsidRDefault="007A68AD" w:rsidP="001C77AA">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Por lo anterior, el</w:t>
      </w:r>
      <w:r w:rsidR="001F0337" w:rsidRPr="00B75B43">
        <w:rPr>
          <w:rFonts w:ascii="Arial" w:hAnsi="Arial" w:cs="Arial"/>
          <w:color w:val="4BACC6" w:themeColor="accent5"/>
          <w:sz w:val="24"/>
          <w:szCs w:val="24"/>
        </w:rPr>
        <w:t xml:space="preserve"> sujeto</w:t>
      </w:r>
      <w:r w:rsidR="00DF5E66" w:rsidRPr="00B75B43">
        <w:rPr>
          <w:rFonts w:ascii="Arial" w:hAnsi="Arial" w:cs="Arial"/>
          <w:color w:val="4BACC6" w:themeColor="accent5"/>
          <w:sz w:val="24"/>
          <w:szCs w:val="24"/>
        </w:rPr>
        <w:t xml:space="preserve"> obl</w:t>
      </w:r>
      <w:r w:rsidR="00763E45" w:rsidRPr="00B75B43">
        <w:rPr>
          <w:rFonts w:ascii="Arial" w:hAnsi="Arial" w:cs="Arial"/>
          <w:color w:val="4BACC6" w:themeColor="accent5"/>
          <w:sz w:val="24"/>
          <w:szCs w:val="24"/>
        </w:rPr>
        <w:t xml:space="preserve">igado a través </w:t>
      </w:r>
      <w:r w:rsidR="007B520C" w:rsidRPr="00B75B43">
        <w:rPr>
          <w:rFonts w:ascii="Arial" w:hAnsi="Arial" w:cs="Arial"/>
          <w:color w:val="4BACC6" w:themeColor="accent5"/>
          <w:sz w:val="24"/>
          <w:szCs w:val="24"/>
        </w:rPr>
        <w:t>del</w:t>
      </w:r>
      <w:r w:rsidR="00381A32" w:rsidRPr="00B75B43">
        <w:rPr>
          <w:rFonts w:ascii="Arial" w:hAnsi="Arial" w:cs="Arial"/>
          <w:color w:val="4BACC6" w:themeColor="accent5"/>
          <w:sz w:val="24"/>
          <w:szCs w:val="24"/>
        </w:rPr>
        <w:t xml:space="preserve"> oficio</w:t>
      </w:r>
      <w:r w:rsidR="007B520C" w:rsidRPr="00B75B43">
        <w:rPr>
          <w:rFonts w:ascii="Arial" w:hAnsi="Arial" w:cs="Arial"/>
          <w:color w:val="4BACC6" w:themeColor="accent5"/>
          <w:sz w:val="24"/>
          <w:szCs w:val="24"/>
        </w:rPr>
        <w:t xml:space="preserve"> </w:t>
      </w:r>
      <w:r w:rsidR="002231D3" w:rsidRPr="00B75B43">
        <w:rPr>
          <w:rFonts w:ascii="Arial" w:hAnsi="Arial" w:cs="Arial"/>
          <w:color w:val="4BACC6" w:themeColor="accent5"/>
          <w:sz w:val="24"/>
          <w:szCs w:val="24"/>
        </w:rPr>
        <w:t xml:space="preserve">sin </w:t>
      </w:r>
      <w:r w:rsidR="00E12808" w:rsidRPr="00B75B43">
        <w:rPr>
          <w:rFonts w:ascii="Arial" w:hAnsi="Arial" w:cs="Arial"/>
          <w:color w:val="4BACC6" w:themeColor="accent5"/>
          <w:sz w:val="24"/>
          <w:szCs w:val="24"/>
        </w:rPr>
        <w:t>número</w:t>
      </w:r>
      <w:r w:rsidR="009B7254" w:rsidRPr="00B75B43">
        <w:rPr>
          <w:rFonts w:ascii="Arial" w:hAnsi="Arial" w:cs="Arial"/>
          <w:color w:val="4BACC6" w:themeColor="accent5"/>
          <w:sz w:val="24"/>
          <w:szCs w:val="24"/>
        </w:rPr>
        <w:t xml:space="preserve"> </w:t>
      </w:r>
      <w:r w:rsidR="00352A7B" w:rsidRPr="00B75B43">
        <w:rPr>
          <w:rFonts w:ascii="Arial" w:hAnsi="Arial" w:cs="Arial"/>
          <w:color w:val="4BACC6" w:themeColor="accent5"/>
          <w:sz w:val="24"/>
          <w:szCs w:val="24"/>
        </w:rPr>
        <w:t xml:space="preserve">y de </w:t>
      </w:r>
      <w:r w:rsidRPr="00B75B43">
        <w:rPr>
          <w:rFonts w:ascii="Arial" w:hAnsi="Arial" w:cs="Arial"/>
          <w:color w:val="4BACC6" w:themeColor="accent5"/>
          <w:sz w:val="24"/>
          <w:szCs w:val="24"/>
        </w:rPr>
        <w:t>fecha</w:t>
      </w:r>
      <w:r w:rsidR="00D11CA5" w:rsidRPr="00B75B43">
        <w:rPr>
          <w:rFonts w:ascii="Arial" w:hAnsi="Arial" w:cs="Arial"/>
          <w:color w:val="4BACC6" w:themeColor="accent5"/>
          <w:sz w:val="24"/>
          <w:szCs w:val="24"/>
        </w:rPr>
        <w:t xml:space="preserve"> </w:t>
      </w:r>
      <w:r w:rsidR="002231D3" w:rsidRPr="00B75B43">
        <w:rPr>
          <w:rFonts w:ascii="Arial" w:hAnsi="Arial" w:cs="Arial"/>
          <w:color w:val="4BACC6" w:themeColor="accent5"/>
          <w:sz w:val="24"/>
          <w:szCs w:val="24"/>
        </w:rPr>
        <w:t xml:space="preserve">de </w:t>
      </w:r>
      <w:r w:rsidR="00B75B43">
        <w:rPr>
          <w:rFonts w:ascii="Arial" w:hAnsi="Arial" w:cs="Arial"/>
          <w:color w:val="4BACC6" w:themeColor="accent5"/>
          <w:sz w:val="24"/>
          <w:szCs w:val="24"/>
        </w:rPr>
        <w:t>tres de enero</w:t>
      </w:r>
      <w:r w:rsidR="002231D3" w:rsidRPr="00B75B43">
        <w:rPr>
          <w:rFonts w:ascii="Arial" w:hAnsi="Arial" w:cs="Arial"/>
          <w:color w:val="4BACC6" w:themeColor="accent5"/>
          <w:sz w:val="24"/>
          <w:szCs w:val="24"/>
        </w:rPr>
        <w:t xml:space="preserve"> de dos mil dieci</w:t>
      </w:r>
      <w:r w:rsidR="00B75B43">
        <w:rPr>
          <w:rFonts w:ascii="Arial" w:hAnsi="Arial" w:cs="Arial"/>
          <w:color w:val="4BACC6" w:themeColor="accent5"/>
          <w:sz w:val="24"/>
          <w:szCs w:val="24"/>
        </w:rPr>
        <w:t>ocho</w:t>
      </w:r>
      <w:r w:rsidR="002231D3" w:rsidRPr="00B75B43">
        <w:rPr>
          <w:rFonts w:ascii="Arial" w:hAnsi="Arial" w:cs="Arial"/>
          <w:color w:val="4BACC6" w:themeColor="accent5"/>
          <w:sz w:val="24"/>
          <w:szCs w:val="24"/>
        </w:rPr>
        <w:t xml:space="preserve">, mismo que fue recibido en este órgano colegiado el </w:t>
      </w:r>
      <w:r w:rsidR="00B75B43">
        <w:rPr>
          <w:rFonts w:ascii="Arial" w:hAnsi="Arial" w:cs="Arial"/>
          <w:color w:val="4BACC6" w:themeColor="accent5"/>
          <w:sz w:val="24"/>
          <w:szCs w:val="24"/>
        </w:rPr>
        <w:t>nueve de enero</w:t>
      </w:r>
      <w:r w:rsidR="002231D3" w:rsidRPr="00B75B43">
        <w:rPr>
          <w:rFonts w:ascii="Arial" w:hAnsi="Arial" w:cs="Arial"/>
          <w:color w:val="4BACC6" w:themeColor="accent5"/>
          <w:sz w:val="24"/>
          <w:szCs w:val="24"/>
        </w:rPr>
        <w:t xml:space="preserve"> del año en curso</w:t>
      </w:r>
      <w:r w:rsidR="001A3205" w:rsidRPr="00B75B43">
        <w:rPr>
          <w:rFonts w:ascii="Arial" w:hAnsi="Arial" w:cs="Arial"/>
          <w:color w:val="4BACC6" w:themeColor="accent5"/>
          <w:sz w:val="24"/>
          <w:szCs w:val="24"/>
        </w:rPr>
        <w:t>,</w:t>
      </w:r>
      <w:r w:rsidR="006A4610" w:rsidRPr="00B75B43">
        <w:rPr>
          <w:rFonts w:ascii="Arial" w:hAnsi="Arial" w:cs="Arial"/>
          <w:color w:val="4BACC6" w:themeColor="accent5"/>
          <w:sz w:val="24"/>
          <w:szCs w:val="24"/>
        </w:rPr>
        <w:t xml:space="preserve"> con </w:t>
      </w:r>
      <w:r w:rsidR="00B75B43">
        <w:rPr>
          <w:rFonts w:ascii="Arial" w:hAnsi="Arial" w:cs="Arial"/>
          <w:color w:val="4BACC6" w:themeColor="accent5"/>
          <w:sz w:val="24"/>
          <w:szCs w:val="24"/>
        </w:rPr>
        <w:t>dos</w:t>
      </w:r>
      <w:r w:rsidR="006A4610" w:rsidRPr="00B75B43">
        <w:rPr>
          <w:rFonts w:ascii="Arial" w:hAnsi="Arial" w:cs="Arial"/>
          <w:color w:val="4BACC6" w:themeColor="accent5"/>
          <w:sz w:val="24"/>
          <w:szCs w:val="24"/>
        </w:rPr>
        <w:t xml:space="preserve"> anexo</w:t>
      </w:r>
      <w:r w:rsidR="00B75B43">
        <w:rPr>
          <w:rFonts w:ascii="Arial" w:hAnsi="Arial" w:cs="Arial"/>
          <w:color w:val="4BACC6" w:themeColor="accent5"/>
          <w:sz w:val="24"/>
          <w:szCs w:val="24"/>
        </w:rPr>
        <w:t>s</w:t>
      </w:r>
      <w:r w:rsidR="006A4610" w:rsidRPr="00B75B43">
        <w:rPr>
          <w:rFonts w:ascii="Arial" w:hAnsi="Arial" w:cs="Arial"/>
          <w:color w:val="4BACC6" w:themeColor="accent5"/>
          <w:sz w:val="24"/>
          <w:szCs w:val="24"/>
        </w:rPr>
        <w:t>,</w:t>
      </w:r>
      <w:r w:rsidR="00E94C22" w:rsidRPr="00B75B43">
        <w:rPr>
          <w:rFonts w:ascii="Arial" w:hAnsi="Arial" w:cs="Arial"/>
          <w:color w:val="4BACC6" w:themeColor="accent5"/>
          <w:sz w:val="24"/>
          <w:szCs w:val="24"/>
        </w:rPr>
        <w:t xml:space="preserve"> </w:t>
      </w:r>
      <w:r w:rsidR="001C77AA" w:rsidRPr="00B75B43">
        <w:rPr>
          <w:rFonts w:ascii="Arial" w:hAnsi="Arial" w:cs="Arial"/>
          <w:color w:val="4BACC6" w:themeColor="accent5"/>
          <w:sz w:val="24"/>
          <w:szCs w:val="24"/>
        </w:rPr>
        <w:t xml:space="preserve">donde </w:t>
      </w:r>
      <w:r w:rsidR="00E94C22" w:rsidRPr="00B75B43">
        <w:rPr>
          <w:rFonts w:ascii="Arial" w:hAnsi="Arial" w:cs="Arial"/>
          <w:color w:val="4BACC6" w:themeColor="accent5"/>
          <w:sz w:val="24"/>
          <w:szCs w:val="24"/>
        </w:rPr>
        <w:t>informa sobre el cumplimiento al resolutivo en anális</w:t>
      </w:r>
      <w:r w:rsidR="00D21862" w:rsidRPr="00B75B43">
        <w:rPr>
          <w:rFonts w:ascii="Arial" w:hAnsi="Arial" w:cs="Arial"/>
          <w:color w:val="4BACC6" w:themeColor="accent5"/>
          <w:sz w:val="24"/>
          <w:szCs w:val="24"/>
        </w:rPr>
        <w:t>is</w:t>
      </w:r>
      <w:r w:rsidR="00352A7B" w:rsidRPr="00B75B43">
        <w:rPr>
          <w:rFonts w:ascii="Arial" w:hAnsi="Arial" w:cs="Arial"/>
          <w:color w:val="4BACC6" w:themeColor="accent5"/>
          <w:sz w:val="24"/>
          <w:szCs w:val="24"/>
        </w:rPr>
        <w:t xml:space="preserve"> y señala medularmente lo siguiente:</w:t>
      </w:r>
    </w:p>
    <w:p w:rsidR="00D11CA5" w:rsidRPr="00B75B43" w:rsidRDefault="00D11CA5" w:rsidP="00352A7B">
      <w:pPr>
        <w:spacing w:after="0" w:line="360" w:lineRule="auto"/>
        <w:jc w:val="both"/>
        <w:rPr>
          <w:rFonts w:ascii="Arial" w:hAnsi="Arial" w:cs="Arial"/>
          <w:color w:val="4BACC6" w:themeColor="accent5"/>
          <w:sz w:val="24"/>
          <w:szCs w:val="24"/>
        </w:rPr>
      </w:pPr>
    </w:p>
    <w:p w:rsidR="00D11CA5" w:rsidRPr="00B75B43" w:rsidRDefault="00E12808" w:rsidP="00521EFB">
      <w:pPr>
        <w:spacing w:after="0" w:line="240" w:lineRule="auto"/>
        <w:ind w:firstLine="708"/>
        <w:jc w:val="both"/>
        <w:rPr>
          <w:rFonts w:ascii="Arial" w:hAnsi="Arial" w:cs="Arial"/>
          <w:i/>
          <w:color w:val="4BACC6" w:themeColor="accent5"/>
        </w:rPr>
      </w:pPr>
      <w:r w:rsidRPr="00B75B43">
        <w:rPr>
          <w:rFonts w:ascii="Arial" w:hAnsi="Arial" w:cs="Arial"/>
          <w:i/>
          <w:color w:val="4BACC6" w:themeColor="accent5"/>
        </w:rPr>
        <w:t xml:space="preserve"> </w:t>
      </w:r>
      <w:r w:rsidR="00D11CA5" w:rsidRPr="00B75B43">
        <w:rPr>
          <w:rFonts w:ascii="Arial" w:hAnsi="Arial" w:cs="Arial"/>
          <w:i/>
          <w:color w:val="4BACC6" w:themeColor="accent5"/>
        </w:rPr>
        <w:t>[…]</w:t>
      </w:r>
      <w:r w:rsidR="00810456" w:rsidRPr="00B75B43">
        <w:rPr>
          <w:rFonts w:ascii="Arial" w:hAnsi="Arial" w:cs="Arial"/>
          <w:i/>
          <w:color w:val="4BACC6" w:themeColor="accent5"/>
        </w:rPr>
        <w:t xml:space="preserve"> </w:t>
      </w:r>
      <w:r w:rsidR="009B7254" w:rsidRPr="00B75B43">
        <w:rPr>
          <w:rFonts w:ascii="Arial" w:hAnsi="Arial" w:cs="Arial"/>
          <w:i/>
          <w:color w:val="4BACC6" w:themeColor="accent5"/>
        </w:rPr>
        <w:t xml:space="preserve">para </w:t>
      </w:r>
      <w:r w:rsidR="002231D3" w:rsidRPr="00B75B43">
        <w:rPr>
          <w:rFonts w:ascii="Arial" w:hAnsi="Arial" w:cs="Arial"/>
          <w:i/>
          <w:color w:val="4BACC6" w:themeColor="accent5"/>
        </w:rPr>
        <w:t xml:space="preserve">informarle que en relación al Oficio de Recurso de Revisión 151/2017-1 de la Solicitud con números de Folio 00105517 del día 27 de febrero de 2017 y de lo cual a continuación enviamos comprobación </w:t>
      </w:r>
      <w:r w:rsidR="00B75B43">
        <w:rPr>
          <w:rFonts w:ascii="Arial" w:hAnsi="Arial" w:cs="Arial"/>
          <w:i/>
          <w:color w:val="4BACC6" w:themeColor="accent5"/>
        </w:rPr>
        <w:t xml:space="preserve">el </w:t>
      </w:r>
      <w:r w:rsidR="00292A65">
        <w:rPr>
          <w:rFonts w:ascii="Arial" w:hAnsi="Arial" w:cs="Arial"/>
          <w:i/>
          <w:color w:val="4BACC6" w:themeColor="accent5"/>
        </w:rPr>
        <w:t>día</w:t>
      </w:r>
      <w:r w:rsidR="00B75B43">
        <w:rPr>
          <w:rFonts w:ascii="Arial" w:hAnsi="Arial" w:cs="Arial"/>
          <w:i/>
          <w:color w:val="4BACC6" w:themeColor="accent5"/>
        </w:rPr>
        <w:t xml:space="preserve"> 5 de agosto de 2017</w:t>
      </w:r>
      <w:r w:rsidR="00292A65">
        <w:rPr>
          <w:rFonts w:ascii="Arial" w:hAnsi="Arial" w:cs="Arial"/>
          <w:i/>
          <w:color w:val="4BACC6" w:themeColor="accent5"/>
        </w:rPr>
        <w:t xml:space="preserve"> </w:t>
      </w:r>
      <w:r w:rsidR="002231D3" w:rsidRPr="00B75B43">
        <w:rPr>
          <w:rFonts w:ascii="Arial" w:hAnsi="Arial" w:cs="Arial"/>
          <w:i/>
          <w:color w:val="4BACC6" w:themeColor="accent5"/>
        </w:rPr>
        <w:t xml:space="preserve">de la información </w:t>
      </w:r>
      <w:r w:rsidR="00850170" w:rsidRPr="00B75B43">
        <w:rPr>
          <w:rFonts w:ascii="Arial" w:hAnsi="Arial" w:cs="Arial"/>
          <w:i/>
          <w:color w:val="4BACC6" w:themeColor="accent5"/>
        </w:rPr>
        <w:t xml:space="preserve">que se envió al </w:t>
      </w:r>
      <w:proofErr w:type="gramStart"/>
      <w:r w:rsidR="00850170" w:rsidRPr="00B75B43">
        <w:rPr>
          <w:rFonts w:ascii="Arial" w:hAnsi="Arial" w:cs="Arial"/>
          <w:i/>
          <w:color w:val="4BACC6" w:themeColor="accent5"/>
        </w:rPr>
        <w:t>C.</w:t>
      </w:r>
      <w:r w:rsidR="00292A65">
        <w:rPr>
          <w:rFonts w:ascii="Arial" w:hAnsi="Arial" w:cs="Arial"/>
          <w:i/>
          <w:color w:val="4BACC6" w:themeColor="accent5"/>
        </w:rPr>
        <w:t>XXXXXXXXXXXXXX</w:t>
      </w:r>
      <w:proofErr w:type="gramEnd"/>
      <w:r w:rsidR="00850170" w:rsidRPr="00B75B43">
        <w:rPr>
          <w:rFonts w:ascii="Arial" w:hAnsi="Arial" w:cs="Arial"/>
          <w:i/>
          <w:color w:val="4BACC6" w:themeColor="accent5"/>
        </w:rPr>
        <w:t xml:space="preserve"> al correo que nos proporcionó </w:t>
      </w:r>
      <w:r w:rsidR="00521EFB" w:rsidRPr="00B75B43">
        <w:rPr>
          <w:rFonts w:ascii="Arial" w:hAnsi="Arial" w:cs="Arial"/>
          <w:i/>
          <w:color w:val="4BACC6" w:themeColor="accent5"/>
        </w:rPr>
        <w:t>XXXXXXXXXXXX</w:t>
      </w:r>
      <w:r w:rsidR="00850170" w:rsidRPr="00B75B43">
        <w:rPr>
          <w:rFonts w:ascii="Arial" w:hAnsi="Arial" w:cs="Arial"/>
          <w:i/>
          <w:color w:val="4BACC6" w:themeColor="accent5"/>
        </w:rPr>
        <w:t xml:space="preserve"> y al cual se remitió.</w:t>
      </w:r>
      <w:r w:rsidR="001C77AA" w:rsidRPr="00B75B43">
        <w:rPr>
          <w:rFonts w:ascii="Arial" w:hAnsi="Arial" w:cs="Arial"/>
          <w:i/>
          <w:color w:val="4BACC6" w:themeColor="accent5"/>
        </w:rPr>
        <w:t xml:space="preserve"> </w:t>
      </w:r>
      <w:r w:rsidR="00292A65" w:rsidRPr="00B75B43">
        <w:rPr>
          <w:rFonts w:ascii="Arial" w:hAnsi="Arial" w:cs="Arial"/>
          <w:i/>
          <w:color w:val="4BACC6" w:themeColor="accent5"/>
        </w:rPr>
        <w:t>[…]</w:t>
      </w:r>
    </w:p>
    <w:p w:rsidR="00D21862" w:rsidRPr="00B75B43" w:rsidRDefault="00D21862" w:rsidP="00352A7B">
      <w:pPr>
        <w:spacing w:after="0" w:line="360" w:lineRule="auto"/>
        <w:jc w:val="both"/>
        <w:rPr>
          <w:rFonts w:ascii="Arial" w:hAnsi="Arial" w:cs="Arial"/>
          <w:color w:val="4BACC6" w:themeColor="accent5"/>
          <w:sz w:val="24"/>
          <w:szCs w:val="24"/>
        </w:rPr>
      </w:pPr>
    </w:p>
    <w:p w:rsidR="00AF0D89" w:rsidRPr="00B75B43" w:rsidRDefault="00352A7B" w:rsidP="00AF0D89">
      <w:pPr>
        <w:pStyle w:val="corte4fondo"/>
        <w:tabs>
          <w:tab w:val="left" w:pos="567"/>
        </w:tabs>
        <w:rPr>
          <w:rFonts w:cs="Arial"/>
          <w:color w:val="4BACC6" w:themeColor="accent5"/>
          <w:sz w:val="24"/>
          <w:szCs w:val="24"/>
        </w:rPr>
      </w:pPr>
      <w:r w:rsidRPr="00B75B43">
        <w:rPr>
          <w:rFonts w:cs="Arial"/>
          <w:color w:val="4BACC6" w:themeColor="accent5"/>
          <w:sz w:val="24"/>
          <w:szCs w:val="24"/>
        </w:rPr>
        <w:lastRenderedPageBreak/>
        <w:t>En ese sentido,</w:t>
      </w:r>
      <w:r w:rsidR="006A4610" w:rsidRPr="00B75B43">
        <w:rPr>
          <w:rFonts w:cs="Arial"/>
          <w:color w:val="4BACC6" w:themeColor="accent5"/>
          <w:sz w:val="24"/>
          <w:szCs w:val="24"/>
        </w:rPr>
        <w:t xml:space="preserve"> </w:t>
      </w:r>
      <w:r w:rsidR="00D11CA5" w:rsidRPr="00B75B43">
        <w:rPr>
          <w:rFonts w:cs="Arial"/>
          <w:color w:val="4BACC6" w:themeColor="accent5"/>
          <w:sz w:val="24"/>
          <w:szCs w:val="24"/>
        </w:rPr>
        <w:t xml:space="preserve">visibles a fojas </w:t>
      </w:r>
      <w:r w:rsidR="00292A65">
        <w:rPr>
          <w:rFonts w:cs="Arial"/>
          <w:color w:val="4BACC6" w:themeColor="accent5"/>
          <w:sz w:val="24"/>
          <w:szCs w:val="24"/>
        </w:rPr>
        <w:t>50</w:t>
      </w:r>
      <w:r w:rsidR="00810456" w:rsidRPr="00B75B43">
        <w:rPr>
          <w:rFonts w:cs="Arial"/>
          <w:color w:val="4BACC6" w:themeColor="accent5"/>
          <w:sz w:val="24"/>
          <w:szCs w:val="24"/>
        </w:rPr>
        <w:t xml:space="preserve"> </w:t>
      </w:r>
      <w:r w:rsidR="00467AA8" w:rsidRPr="00B75B43">
        <w:rPr>
          <w:rFonts w:cs="Arial"/>
          <w:color w:val="4BACC6" w:themeColor="accent5"/>
          <w:sz w:val="24"/>
          <w:szCs w:val="24"/>
        </w:rPr>
        <w:t>a</w:t>
      </w:r>
      <w:r w:rsidR="00810456" w:rsidRPr="00B75B43">
        <w:rPr>
          <w:rFonts w:cs="Arial"/>
          <w:color w:val="4BACC6" w:themeColor="accent5"/>
          <w:sz w:val="24"/>
          <w:szCs w:val="24"/>
        </w:rPr>
        <w:t xml:space="preserve"> </w:t>
      </w:r>
      <w:r w:rsidR="00292A65">
        <w:rPr>
          <w:rFonts w:cs="Arial"/>
          <w:color w:val="4BACC6" w:themeColor="accent5"/>
          <w:sz w:val="24"/>
          <w:szCs w:val="24"/>
        </w:rPr>
        <w:t>91</w:t>
      </w:r>
      <w:r w:rsidR="00D11CA5" w:rsidRPr="00B75B43">
        <w:rPr>
          <w:rFonts w:cs="Arial"/>
          <w:color w:val="4BACC6" w:themeColor="accent5"/>
          <w:sz w:val="24"/>
          <w:szCs w:val="24"/>
        </w:rPr>
        <w:t xml:space="preserve"> de autos, se encuentra la información que fuera enviada al recurrente, mismos que por economía procesal, se tienen por reproducidos como si a la letra se insertasen</w:t>
      </w:r>
      <w:r w:rsidR="00AF0D89" w:rsidRPr="00B75B43">
        <w:rPr>
          <w:rFonts w:cs="Arial"/>
          <w:color w:val="4BACC6" w:themeColor="accent5"/>
          <w:sz w:val="24"/>
          <w:szCs w:val="24"/>
        </w:rPr>
        <w:t>.</w:t>
      </w:r>
    </w:p>
    <w:p w:rsidR="00AF0D89" w:rsidRPr="00B75B43" w:rsidRDefault="00AF0D89" w:rsidP="00AF0D89">
      <w:pPr>
        <w:pStyle w:val="corte4fondo"/>
        <w:tabs>
          <w:tab w:val="left" w:pos="567"/>
        </w:tabs>
        <w:rPr>
          <w:rFonts w:cs="Arial"/>
          <w:color w:val="4BACC6" w:themeColor="accent5"/>
          <w:sz w:val="24"/>
          <w:szCs w:val="24"/>
        </w:rPr>
      </w:pPr>
    </w:p>
    <w:p w:rsidR="00523D76" w:rsidRPr="00B75B43" w:rsidRDefault="00AF0D89" w:rsidP="00523D76">
      <w:pPr>
        <w:pStyle w:val="corte4fondo"/>
        <w:tabs>
          <w:tab w:val="left" w:pos="567"/>
        </w:tabs>
        <w:rPr>
          <w:rFonts w:cs="Arial"/>
          <w:color w:val="4BACC6" w:themeColor="accent5"/>
          <w:sz w:val="24"/>
          <w:szCs w:val="24"/>
        </w:rPr>
      </w:pPr>
      <w:r w:rsidRPr="00B75B43">
        <w:rPr>
          <w:rFonts w:cs="Arial"/>
          <w:color w:val="4BACC6" w:themeColor="accent5"/>
          <w:sz w:val="24"/>
          <w:szCs w:val="24"/>
        </w:rPr>
        <w:t xml:space="preserve">Por otra parte, </w:t>
      </w:r>
      <w:r w:rsidR="00D11CA5" w:rsidRPr="00B75B43">
        <w:rPr>
          <w:rFonts w:cs="Arial"/>
          <w:color w:val="4BACC6" w:themeColor="accent5"/>
          <w:sz w:val="24"/>
          <w:szCs w:val="24"/>
        </w:rPr>
        <w:t xml:space="preserve">el sujeto obligado </w:t>
      </w:r>
      <w:r w:rsidRPr="00B75B43">
        <w:rPr>
          <w:rFonts w:cs="Arial"/>
          <w:color w:val="4BACC6" w:themeColor="accent5"/>
          <w:sz w:val="24"/>
          <w:szCs w:val="24"/>
        </w:rPr>
        <w:t xml:space="preserve">acredita </w:t>
      </w:r>
      <w:r w:rsidR="000B7F7D" w:rsidRPr="00B75B43">
        <w:rPr>
          <w:rFonts w:cs="Arial"/>
          <w:color w:val="4BACC6" w:themeColor="accent5"/>
          <w:sz w:val="24"/>
          <w:szCs w:val="24"/>
        </w:rPr>
        <w:t xml:space="preserve">la constancia </w:t>
      </w:r>
      <w:r w:rsidR="00FE5A4C" w:rsidRPr="00B75B43">
        <w:rPr>
          <w:rFonts w:cs="Arial"/>
          <w:color w:val="4BACC6" w:themeColor="accent5"/>
          <w:sz w:val="24"/>
          <w:szCs w:val="24"/>
        </w:rPr>
        <w:t xml:space="preserve">que </w:t>
      </w:r>
      <w:r w:rsidRPr="00B75B43">
        <w:rPr>
          <w:rFonts w:cs="Arial"/>
          <w:color w:val="4BACC6" w:themeColor="accent5"/>
          <w:sz w:val="24"/>
          <w:szCs w:val="24"/>
        </w:rPr>
        <w:t xml:space="preserve">remitió esté </w:t>
      </w:r>
      <w:r w:rsidR="000B7F7D" w:rsidRPr="00B75B43">
        <w:rPr>
          <w:rFonts w:cs="Arial"/>
          <w:color w:val="4BACC6" w:themeColor="accent5"/>
          <w:sz w:val="24"/>
          <w:szCs w:val="24"/>
        </w:rPr>
        <w:t xml:space="preserve">al recurrente por </w:t>
      </w:r>
      <w:r w:rsidR="00FE5A4C" w:rsidRPr="00B75B43">
        <w:rPr>
          <w:rFonts w:cs="Arial"/>
          <w:color w:val="4BACC6" w:themeColor="accent5"/>
          <w:sz w:val="24"/>
          <w:szCs w:val="24"/>
        </w:rPr>
        <w:t>correo electrónico</w:t>
      </w:r>
      <w:r w:rsidR="000B7F7D" w:rsidRPr="00B75B43">
        <w:rPr>
          <w:rFonts w:cs="Arial"/>
          <w:color w:val="4BACC6" w:themeColor="accent5"/>
          <w:sz w:val="24"/>
          <w:szCs w:val="24"/>
        </w:rPr>
        <w:t xml:space="preserve"> </w:t>
      </w:r>
      <w:r w:rsidR="00FE5A4C" w:rsidRPr="00B75B43">
        <w:rPr>
          <w:rFonts w:cs="Arial"/>
          <w:color w:val="4BACC6" w:themeColor="accent5"/>
          <w:sz w:val="24"/>
          <w:szCs w:val="24"/>
        </w:rPr>
        <w:t>la información que se ha estudiado</w:t>
      </w:r>
      <w:r w:rsidR="000B7F7D" w:rsidRPr="00B75B43">
        <w:rPr>
          <w:rFonts w:cs="Arial"/>
          <w:color w:val="4BACC6" w:themeColor="accent5"/>
          <w:sz w:val="24"/>
          <w:szCs w:val="24"/>
        </w:rPr>
        <w:t xml:space="preserve"> </w:t>
      </w:r>
      <w:proofErr w:type="gramStart"/>
      <w:r w:rsidR="00523D76" w:rsidRPr="00B75B43">
        <w:rPr>
          <w:rFonts w:cs="Arial"/>
          <w:color w:val="4BACC6" w:themeColor="accent5"/>
          <w:sz w:val="24"/>
          <w:szCs w:val="24"/>
        </w:rPr>
        <w:t>de acuerdo a</w:t>
      </w:r>
      <w:proofErr w:type="gramEnd"/>
      <w:r w:rsidR="00523D76" w:rsidRPr="00B75B43">
        <w:rPr>
          <w:rFonts w:cs="Arial"/>
          <w:color w:val="4BACC6" w:themeColor="accent5"/>
          <w:sz w:val="24"/>
          <w:szCs w:val="24"/>
        </w:rPr>
        <w:t xml:space="preserve"> lo </w:t>
      </w:r>
      <w:r w:rsidR="00FE5A4C" w:rsidRPr="00B75B43">
        <w:rPr>
          <w:rFonts w:cs="Arial"/>
          <w:color w:val="4BACC6" w:themeColor="accent5"/>
          <w:sz w:val="24"/>
          <w:szCs w:val="24"/>
        </w:rPr>
        <w:t xml:space="preserve">contenido </w:t>
      </w:r>
      <w:r w:rsidR="00523D76" w:rsidRPr="00B75B43">
        <w:rPr>
          <w:rFonts w:cs="Arial"/>
          <w:color w:val="4BACC6" w:themeColor="accent5"/>
          <w:sz w:val="24"/>
          <w:szCs w:val="24"/>
        </w:rPr>
        <w:t>en el artículo</w:t>
      </w:r>
      <w:r w:rsidR="00813BA7" w:rsidRPr="00B75B43">
        <w:rPr>
          <w:rFonts w:cs="Arial"/>
          <w:color w:val="4BACC6" w:themeColor="accent5"/>
          <w:sz w:val="24"/>
          <w:szCs w:val="24"/>
        </w:rPr>
        <w:t xml:space="preserve"> 183</w:t>
      </w:r>
      <w:r w:rsidR="00523D76" w:rsidRPr="00B75B43">
        <w:rPr>
          <w:rFonts w:cs="Arial"/>
          <w:color w:val="4BACC6" w:themeColor="accent5"/>
          <w:sz w:val="24"/>
          <w:szCs w:val="24"/>
        </w:rPr>
        <w:t>,</w:t>
      </w:r>
      <w:r w:rsidR="00813BA7" w:rsidRPr="00B75B43">
        <w:rPr>
          <w:rFonts w:cs="Arial"/>
          <w:color w:val="4BACC6" w:themeColor="accent5"/>
          <w:sz w:val="24"/>
          <w:szCs w:val="24"/>
        </w:rPr>
        <w:t xml:space="preserve"> primer p</w:t>
      </w:r>
      <w:r w:rsidR="00523D76" w:rsidRPr="00B75B43">
        <w:rPr>
          <w:rFonts w:cs="Arial"/>
          <w:color w:val="4BACC6" w:themeColor="accent5"/>
          <w:sz w:val="24"/>
          <w:szCs w:val="24"/>
        </w:rPr>
        <w:t>ár</w:t>
      </w:r>
      <w:r w:rsidR="00813BA7" w:rsidRPr="00B75B43">
        <w:rPr>
          <w:rFonts w:cs="Arial"/>
          <w:color w:val="4BACC6" w:themeColor="accent5"/>
          <w:sz w:val="24"/>
          <w:szCs w:val="24"/>
        </w:rPr>
        <w:t>rafo</w:t>
      </w:r>
      <w:r w:rsidR="00523D76" w:rsidRPr="00B75B43">
        <w:rPr>
          <w:rFonts w:cs="Arial"/>
          <w:color w:val="4BACC6" w:themeColor="accent5"/>
          <w:sz w:val="24"/>
          <w:szCs w:val="24"/>
        </w:rPr>
        <w:t xml:space="preserve"> de la Ley de Transparencia y Acceso a la Información Pública del Estado, que a la letra dice: </w:t>
      </w:r>
    </w:p>
    <w:p w:rsidR="0039642A" w:rsidRPr="00B75B43" w:rsidRDefault="0039642A" w:rsidP="00523D76">
      <w:pPr>
        <w:pStyle w:val="corte4fondo"/>
        <w:tabs>
          <w:tab w:val="left" w:pos="567"/>
        </w:tabs>
        <w:rPr>
          <w:rFonts w:cs="Arial"/>
          <w:color w:val="4BACC6" w:themeColor="accent5"/>
          <w:sz w:val="24"/>
          <w:szCs w:val="24"/>
        </w:rPr>
      </w:pPr>
    </w:p>
    <w:p w:rsidR="00523D76" w:rsidRPr="00B75B43" w:rsidRDefault="00523D76" w:rsidP="00523D76">
      <w:pPr>
        <w:pStyle w:val="corte4fondo"/>
        <w:tabs>
          <w:tab w:val="left" w:pos="567"/>
        </w:tabs>
        <w:rPr>
          <w:i/>
          <w:color w:val="4BACC6" w:themeColor="accent5"/>
          <w:sz w:val="22"/>
          <w:szCs w:val="22"/>
        </w:rPr>
      </w:pPr>
      <w:r w:rsidRPr="00B75B43">
        <w:rPr>
          <w:i/>
          <w:color w:val="4BACC6" w:themeColor="accent5"/>
          <w:sz w:val="22"/>
          <w:szCs w:val="22"/>
        </w:rPr>
        <w:t>“ARTÍCULO 183. Los sujetos obligados, a través de la Unidad de Transparencia, darán estricto cumplimiento a las resoluciones de la CEGAIP y deberán informar a estos sobre su cumplimiento.”</w:t>
      </w:r>
    </w:p>
    <w:p w:rsidR="0039642A" w:rsidRPr="00B75B43" w:rsidRDefault="0039642A" w:rsidP="00523D76">
      <w:pPr>
        <w:pStyle w:val="corte4fondo"/>
        <w:tabs>
          <w:tab w:val="left" w:pos="567"/>
        </w:tabs>
        <w:rPr>
          <w:rFonts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De tal suerte, se tiene que las documentales remitidas por el sujeto obligado, son suficientes para colmar los extremos fijados en la resolución de mérito y por tanto se encuentra cumplida, toda vez que la información proporcionada por el sujeto obligado da cuenta de las actuaciones realizadas para cumplir en forma el considerando quinto de la resolución emitida por esta Comisión.</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Por otro lado, este órgano colegiado por medio de proveído de fecha </w:t>
      </w:r>
      <w:r w:rsidR="005A550A" w:rsidRPr="00B75B43">
        <w:rPr>
          <w:rFonts w:ascii="Arial" w:hAnsi="Arial" w:cs="Arial"/>
          <w:color w:val="4BACC6" w:themeColor="accent5"/>
          <w:sz w:val="24"/>
          <w:szCs w:val="24"/>
        </w:rPr>
        <w:t>treinta de enero</w:t>
      </w:r>
      <w:r w:rsidRPr="00B75B43">
        <w:rPr>
          <w:rFonts w:ascii="Arial" w:hAnsi="Arial" w:cs="Arial"/>
          <w:color w:val="4BACC6" w:themeColor="accent5"/>
          <w:sz w:val="24"/>
          <w:szCs w:val="24"/>
        </w:rPr>
        <w:t xml:space="preserve"> de dos mil dieci</w:t>
      </w:r>
      <w:r w:rsidR="005A550A" w:rsidRPr="00B75B43">
        <w:rPr>
          <w:rFonts w:ascii="Arial" w:hAnsi="Arial" w:cs="Arial"/>
          <w:color w:val="4BACC6" w:themeColor="accent5"/>
          <w:sz w:val="24"/>
          <w:szCs w:val="24"/>
        </w:rPr>
        <w:t>ocho</w:t>
      </w:r>
      <w:r w:rsidRPr="00B75B43">
        <w:rPr>
          <w:rFonts w:ascii="Arial" w:hAnsi="Arial" w:cs="Arial"/>
          <w:color w:val="4BACC6" w:themeColor="accent5"/>
          <w:sz w:val="24"/>
          <w:szCs w:val="24"/>
        </w:rPr>
        <w:t xml:space="preserve">, dio vista 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obran visibles a fojas </w:t>
      </w:r>
      <w:r w:rsidR="00B75B43" w:rsidRPr="00B75B43">
        <w:rPr>
          <w:rFonts w:ascii="Arial" w:hAnsi="Arial" w:cs="Arial"/>
          <w:color w:val="4BACC6" w:themeColor="accent5"/>
          <w:sz w:val="24"/>
          <w:szCs w:val="24"/>
        </w:rPr>
        <w:t>93</w:t>
      </w:r>
      <w:r w:rsidRPr="00B75B43">
        <w:rPr>
          <w:rFonts w:ascii="Arial" w:hAnsi="Arial" w:cs="Arial"/>
          <w:color w:val="4BACC6" w:themeColor="accent5"/>
          <w:sz w:val="24"/>
          <w:szCs w:val="24"/>
        </w:rPr>
        <w:t xml:space="preserve"> a </w:t>
      </w:r>
      <w:r w:rsidR="00B75B43" w:rsidRPr="00B75B43">
        <w:rPr>
          <w:rFonts w:ascii="Arial" w:hAnsi="Arial" w:cs="Arial"/>
          <w:color w:val="4BACC6" w:themeColor="accent5"/>
          <w:sz w:val="24"/>
          <w:szCs w:val="24"/>
        </w:rPr>
        <w:t>95</w:t>
      </w:r>
      <w:r w:rsidRPr="00B75B43">
        <w:rPr>
          <w:rFonts w:ascii="Arial" w:hAnsi="Arial" w:cs="Arial"/>
          <w:color w:val="4BACC6" w:themeColor="accent5"/>
          <w:sz w:val="24"/>
          <w:szCs w:val="24"/>
        </w:rPr>
        <w:t xml:space="preserve"> de autos.</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b/>
          <w:color w:val="4BACC6" w:themeColor="accent5"/>
          <w:sz w:val="24"/>
          <w:szCs w:val="24"/>
        </w:rPr>
      </w:pPr>
      <w:r w:rsidRPr="00B75B43">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B75B43">
        <w:rPr>
          <w:rFonts w:ascii="Arial" w:hAnsi="Arial" w:cs="Arial"/>
          <w:b/>
          <w:color w:val="4BACC6" w:themeColor="accent5"/>
          <w:sz w:val="24"/>
          <w:szCs w:val="24"/>
        </w:rPr>
        <w:t>se tiene por cumplida la resolución, dictada en el recurso de revisión RR-</w:t>
      </w:r>
      <w:r w:rsidR="00B75B43" w:rsidRPr="00B75B43">
        <w:rPr>
          <w:rFonts w:ascii="Arial" w:hAnsi="Arial" w:cs="Arial"/>
          <w:b/>
          <w:color w:val="4BACC6" w:themeColor="accent5"/>
          <w:sz w:val="24"/>
          <w:szCs w:val="24"/>
        </w:rPr>
        <w:t>151</w:t>
      </w:r>
      <w:r w:rsidRPr="00B75B43">
        <w:rPr>
          <w:rFonts w:ascii="Arial" w:hAnsi="Arial" w:cs="Arial"/>
          <w:b/>
          <w:color w:val="4BACC6" w:themeColor="accent5"/>
          <w:sz w:val="24"/>
          <w:szCs w:val="24"/>
        </w:rPr>
        <w:t>/2017-1</w:t>
      </w:r>
      <w:r w:rsidR="00B75B43" w:rsidRPr="00B75B43">
        <w:rPr>
          <w:rFonts w:ascii="Arial" w:hAnsi="Arial" w:cs="Arial"/>
          <w:b/>
          <w:color w:val="4BACC6" w:themeColor="accent5"/>
          <w:sz w:val="24"/>
          <w:szCs w:val="24"/>
        </w:rPr>
        <w:t xml:space="preserve"> PLATAFORMA</w:t>
      </w:r>
      <w:r w:rsidRPr="00B75B43">
        <w:rPr>
          <w:rFonts w:ascii="Arial" w:hAnsi="Arial" w:cs="Arial"/>
          <w:b/>
          <w:color w:val="4BACC6" w:themeColor="accent5"/>
          <w:sz w:val="24"/>
          <w:szCs w:val="24"/>
        </w:rPr>
        <w:t>.</w:t>
      </w:r>
    </w:p>
    <w:p w:rsidR="00521EFB" w:rsidRPr="00B75B43" w:rsidRDefault="00521EFB" w:rsidP="00521EFB">
      <w:pPr>
        <w:spacing w:after="0" w:line="360" w:lineRule="auto"/>
        <w:ind w:firstLine="709"/>
        <w:jc w:val="both"/>
        <w:rPr>
          <w:rFonts w:ascii="Arial" w:hAnsi="Arial" w:cs="Arial"/>
          <w:b/>
          <w:color w:val="4BACC6" w:themeColor="accent5"/>
          <w:sz w:val="24"/>
          <w:szCs w:val="24"/>
        </w:rPr>
      </w:pPr>
    </w:p>
    <w:p w:rsidR="00521EFB" w:rsidRPr="00B75B43"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lastRenderedPageBreak/>
        <w:t xml:space="preserve"> Por último, archívese en su oportunidad este expediente como asunto totalmente concluido. </w:t>
      </w:r>
      <w:r w:rsidRPr="00B75B43">
        <w:rPr>
          <w:rFonts w:ascii="Arial" w:hAnsi="Arial" w:cs="Arial"/>
          <w:b/>
          <w:color w:val="4BACC6" w:themeColor="accent5"/>
          <w:sz w:val="24"/>
          <w:szCs w:val="24"/>
        </w:rPr>
        <w:t>Notifíquese por lista y personalmente a las partes.</w:t>
      </w:r>
    </w:p>
    <w:p w:rsidR="005C7BA1" w:rsidRPr="00B75B43"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B75B43" w:rsidRDefault="004C415C" w:rsidP="004C415C">
      <w:pPr>
        <w:tabs>
          <w:tab w:val="left" w:pos="3795"/>
        </w:tabs>
        <w:spacing w:after="0" w:line="360" w:lineRule="auto"/>
        <w:jc w:val="both"/>
        <w:rPr>
          <w:rFonts w:ascii="Arial" w:eastAsia="Batang" w:hAnsi="Arial" w:cs="Arial"/>
          <w:color w:val="4BACC6" w:themeColor="accent5"/>
          <w:sz w:val="24"/>
          <w:szCs w:val="24"/>
        </w:rPr>
      </w:pPr>
      <w:r w:rsidRPr="00B75B43">
        <w:rPr>
          <w:rFonts w:ascii="Arial" w:eastAsia="Batang" w:hAnsi="Arial" w:cs="Arial"/>
          <w:color w:val="4BACC6" w:themeColor="accent5"/>
          <w:sz w:val="24"/>
          <w:szCs w:val="24"/>
        </w:rPr>
        <w:tab/>
      </w:r>
    </w:p>
    <w:p w:rsidR="004F5CDC" w:rsidRPr="00B75B43" w:rsidRDefault="004F5CDC" w:rsidP="004F5CDC">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Default="004F5CDC" w:rsidP="004F5CDC">
      <w:pPr>
        <w:spacing w:after="0" w:line="360" w:lineRule="auto"/>
        <w:jc w:val="both"/>
        <w:rPr>
          <w:rFonts w:ascii="Arial" w:hAnsi="Arial" w:cs="Arial"/>
          <w:b/>
          <w:color w:val="4BACC6" w:themeColor="accent5"/>
          <w:sz w:val="24"/>
          <w:szCs w:val="24"/>
        </w:rPr>
      </w:pPr>
    </w:p>
    <w:p w:rsidR="001D1822" w:rsidRPr="00B75B43" w:rsidRDefault="001D1822" w:rsidP="004F5CDC">
      <w:pPr>
        <w:spacing w:after="0" w:line="360" w:lineRule="auto"/>
        <w:jc w:val="both"/>
        <w:rPr>
          <w:rFonts w:ascii="Arial" w:hAnsi="Arial" w:cs="Arial"/>
          <w:b/>
          <w:color w:val="4BACC6" w:themeColor="accent5"/>
          <w:sz w:val="24"/>
          <w:szCs w:val="24"/>
        </w:rPr>
      </w:pPr>
      <w:bookmarkStart w:id="1" w:name="_GoBack"/>
      <w:bookmarkEnd w:id="1"/>
    </w:p>
    <w:p w:rsidR="004F5CDC" w:rsidRPr="00B75B43" w:rsidRDefault="004F5CDC" w:rsidP="004F5CDC">
      <w:pPr>
        <w:spacing w:after="0" w:line="360" w:lineRule="auto"/>
        <w:ind w:firstLine="709"/>
        <w:jc w:val="both"/>
        <w:rPr>
          <w:rFonts w:ascii="Arial" w:hAnsi="Arial" w:cs="Arial"/>
          <w:b/>
          <w:color w:val="4BACC6" w:themeColor="accent5"/>
          <w:sz w:val="24"/>
          <w:szCs w:val="24"/>
        </w:rPr>
      </w:pPr>
    </w:p>
    <w:p w:rsidR="004F5CDC" w:rsidRPr="00B75B43" w:rsidRDefault="004F5CDC" w:rsidP="004F5CDC">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Alejandro Lafuente Torres</w:t>
      </w:r>
      <w:r w:rsidRPr="00B75B43">
        <w:rPr>
          <w:rFonts w:ascii="Arial" w:hAnsi="Arial" w:cs="Arial"/>
          <w:color w:val="4BACC6" w:themeColor="accent5"/>
          <w:sz w:val="24"/>
          <w:szCs w:val="24"/>
        </w:rPr>
        <w:t xml:space="preserve"> </w:t>
      </w:r>
      <w:r w:rsidRPr="00B75B43">
        <w:rPr>
          <w:rFonts w:ascii="Arial" w:hAnsi="Arial" w:cs="Arial"/>
          <w:b/>
          <w:color w:val="4BACC6" w:themeColor="accent5"/>
          <w:sz w:val="24"/>
          <w:szCs w:val="24"/>
          <w:lang w:val="es-ES"/>
        </w:rPr>
        <w:t xml:space="preserve">          Rosa María Motilla García</w:t>
      </w:r>
      <w:r w:rsidRPr="00B75B43">
        <w:rPr>
          <w:rFonts w:ascii="Arial" w:hAnsi="Arial" w:cs="Arial"/>
          <w:b/>
          <w:color w:val="4BACC6" w:themeColor="accent5"/>
          <w:sz w:val="24"/>
          <w:szCs w:val="24"/>
        </w:rPr>
        <w:t xml:space="preserve">        </w:t>
      </w:r>
    </w:p>
    <w:p w:rsidR="00845E58" w:rsidRPr="00B75B43" w:rsidRDefault="004F5CDC" w:rsidP="00845E58">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Comisionado Presidente                      </w:t>
      </w:r>
      <w:r w:rsidR="00845E58" w:rsidRPr="00B75B43">
        <w:rPr>
          <w:rFonts w:ascii="Arial" w:hAnsi="Arial" w:cs="Arial"/>
          <w:b/>
          <w:color w:val="4BACC6" w:themeColor="accent5"/>
          <w:sz w:val="24"/>
          <w:szCs w:val="24"/>
        </w:rPr>
        <w:t>Secretaria de Pleno</w:t>
      </w:r>
    </w:p>
    <w:p w:rsidR="00845E58" w:rsidRPr="00B75B43" w:rsidRDefault="00845E58" w:rsidP="00845E58">
      <w:pPr>
        <w:spacing w:after="0" w:line="240" w:lineRule="auto"/>
        <w:ind w:firstLine="709"/>
        <w:jc w:val="both"/>
        <w:rPr>
          <w:rFonts w:ascii="Arial" w:hAnsi="Arial" w:cs="Arial"/>
          <w:color w:val="4BACC6" w:themeColor="accent5"/>
          <w:sz w:val="16"/>
          <w:szCs w:val="16"/>
        </w:rPr>
      </w:pPr>
    </w:p>
    <w:p w:rsidR="00845E58" w:rsidRPr="00B75B43" w:rsidRDefault="00845E58" w:rsidP="00845E58">
      <w:pPr>
        <w:spacing w:after="0" w:line="240" w:lineRule="auto"/>
        <w:ind w:firstLine="709"/>
        <w:jc w:val="both"/>
        <w:rPr>
          <w:rFonts w:ascii="Arial" w:hAnsi="Arial" w:cs="Arial"/>
          <w:color w:val="4BACC6" w:themeColor="accent5"/>
          <w:sz w:val="16"/>
          <w:szCs w:val="16"/>
        </w:rPr>
      </w:pPr>
    </w:p>
    <w:p w:rsidR="00810456" w:rsidRPr="00B75B43" w:rsidRDefault="00810456"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E32AE9" w:rsidRPr="00B75B43" w:rsidRDefault="00D72000" w:rsidP="00845E58">
      <w:pPr>
        <w:spacing w:after="0" w:line="240" w:lineRule="auto"/>
        <w:ind w:firstLine="709"/>
        <w:jc w:val="both"/>
        <w:rPr>
          <w:rFonts w:ascii="Arial" w:hAnsi="Arial" w:cs="Arial"/>
          <w:color w:val="4BACC6" w:themeColor="accent5"/>
          <w:sz w:val="18"/>
          <w:szCs w:val="18"/>
        </w:rPr>
      </w:pPr>
      <w:r w:rsidRPr="00B75B43">
        <w:rPr>
          <w:rFonts w:ascii="Arial" w:hAnsi="Arial" w:cs="Arial"/>
          <w:color w:val="4BACC6" w:themeColor="accent5"/>
          <w:sz w:val="18"/>
          <w:szCs w:val="18"/>
        </w:rPr>
        <w:t>O</w:t>
      </w:r>
      <w:r w:rsidR="00E32AE9" w:rsidRPr="00B75B43">
        <w:rPr>
          <w:rFonts w:ascii="Arial" w:hAnsi="Arial" w:cs="Arial"/>
          <w:color w:val="4BACC6" w:themeColor="accent5"/>
          <w:sz w:val="18"/>
          <w:szCs w:val="18"/>
        </w:rPr>
        <w:t>.</w:t>
      </w:r>
      <w:r w:rsidRPr="00B75B43">
        <w:rPr>
          <w:rFonts w:ascii="Arial" w:hAnsi="Arial" w:cs="Arial"/>
          <w:color w:val="4BACC6" w:themeColor="accent5"/>
          <w:sz w:val="18"/>
          <w:szCs w:val="18"/>
        </w:rPr>
        <w:t>R.E</w:t>
      </w:r>
      <w:r w:rsidR="00E32AE9" w:rsidRPr="00B75B43">
        <w:rPr>
          <w:rFonts w:ascii="Arial" w:hAnsi="Arial" w:cs="Arial"/>
          <w:color w:val="4BACC6" w:themeColor="accent5"/>
          <w:sz w:val="18"/>
          <w:szCs w:val="18"/>
        </w:rPr>
        <w:t>.</w:t>
      </w:r>
      <w:r w:rsidRPr="00B75B43">
        <w:rPr>
          <w:rFonts w:ascii="Arial" w:hAnsi="Arial" w:cs="Arial"/>
          <w:color w:val="4BACC6" w:themeColor="accent5"/>
          <w:sz w:val="18"/>
          <w:szCs w:val="18"/>
        </w:rPr>
        <w:t>J</w:t>
      </w:r>
      <w:r w:rsidR="00E32AE9" w:rsidRPr="00B75B43">
        <w:rPr>
          <w:rFonts w:ascii="Arial" w:hAnsi="Arial" w:cs="Arial"/>
          <w:color w:val="4BACC6" w:themeColor="accent5"/>
          <w:sz w:val="18"/>
          <w:szCs w:val="18"/>
        </w:rPr>
        <w:t>.</w:t>
      </w: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B75B43">
      <w:pPr>
        <w:spacing w:after="0" w:line="240" w:lineRule="auto"/>
        <w:ind w:left="708" w:firstLine="1"/>
        <w:jc w:val="both"/>
        <w:rPr>
          <w:rFonts w:ascii="Arial" w:hAnsi="Arial" w:cs="Arial"/>
          <w:color w:val="4BACC6" w:themeColor="accent5"/>
          <w:sz w:val="18"/>
          <w:szCs w:val="18"/>
        </w:rPr>
      </w:pPr>
      <w:r w:rsidRPr="00B75B43">
        <w:rPr>
          <w:rFonts w:ascii="Arial" w:hAnsi="Arial" w:cs="Arial"/>
          <w:color w:val="4BACC6" w:themeColor="accent5"/>
          <w:sz w:val="18"/>
          <w:szCs w:val="18"/>
        </w:rPr>
        <w:t xml:space="preserve">(Esta foja pertenece a la parte final del proveído de </w:t>
      </w:r>
      <w:r w:rsidR="001D1822">
        <w:rPr>
          <w:rFonts w:ascii="Arial" w:hAnsi="Arial" w:cs="Arial"/>
          <w:color w:val="4BACC6" w:themeColor="accent5"/>
          <w:sz w:val="18"/>
          <w:szCs w:val="18"/>
        </w:rPr>
        <w:t>dieciséis</w:t>
      </w:r>
      <w:r w:rsidRPr="00B75B43">
        <w:rPr>
          <w:rFonts w:ascii="Arial" w:hAnsi="Arial" w:cs="Arial"/>
          <w:color w:val="4BACC6" w:themeColor="accent5"/>
          <w:sz w:val="18"/>
          <w:szCs w:val="18"/>
        </w:rPr>
        <w:t xml:space="preserve"> de febrero de dos mil dieciocho, dictado dentro del recurso de revisión 151/2017-1 plataforma).</w:t>
      </w:r>
    </w:p>
    <w:sectPr w:rsidR="00B75B43" w:rsidRPr="00B75B43"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5736" w:rsidRDefault="00655736" w:rsidP="00A04BCB">
      <w:pPr>
        <w:spacing w:after="0" w:line="240" w:lineRule="auto"/>
      </w:pPr>
      <w:r>
        <w:separator/>
      </w:r>
    </w:p>
  </w:endnote>
  <w:endnote w:type="continuationSeparator" w:id="0">
    <w:p w:rsidR="00655736" w:rsidRDefault="00655736"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5736" w:rsidRDefault="00655736" w:rsidP="00A04BCB">
      <w:pPr>
        <w:spacing w:after="0" w:line="240" w:lineRule="auto"/>
      </w:pPr>
      <w:r>
        <w:separator/>
      </w:r>
    </w:p>
  </w:footnote>
  <w:footnote w:type="continuationSeparator" w:id="0">
    <w:p w:rsidR="00655736" w:rsidRDefault="00655736"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50A" w:rsidRDefault="005A550A" w:rsidP="005D7E54">
    <w:pPr>
      <w:pStyle w:val="Encabezado"/>
      <w:jc w:val="right"/>
    </w:pPr>
    <w:r>
      <w:rPr>
        <w:rFonts w:ascii="Arial" w:hAnsi="Arial" w:cs="Arial"/>
        <w:b/>
      </w:rPr>
      <w:t>RR-151/2017-1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D1822"/>
    <w:rsid w:val="001E317B"/>
    <w:rsid w:val="001E6128"/>
    <w:rsid w:val="001F0337"/>
    <w:rsid w:val="001F1B92"/>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92A6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E3238"/>
    <w:rsid w:val="00402BE9"/>
    <w:rsid w:val="00404705"/>
    <w:rsid w:val="0041021C"/>
    <w:rsid w:val="00426890"/>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B5563"/>
    <w:rsid w:val="004C415C"/>
    <w:rsid w:val="004D0F1C"/>
    <w:rsid w:val="004D511E"/>
    <w:rsid w:val="004E386C"/>
    <w:rsid w:val="004F08DC"/>
    <w:rsid w:val="004F5CDC"/>
    <w:rsid w:val="00500854"/>
    <w:rsid w:val="00515C6F"/>
    <w:rsid w:val="00521EFB"/>
    <w:rsid w:val="00523D76"/>
    <w:rsid w:val="005368E6"/>
    <w:rsid w:val="0054206B"/>
    <w:rsid w:val="00552902"/>
    <w:rsid w:val="0055402B"/>
    <w:rsid w:val="00555BEA"/>
    <w:rsid w:val="00557692"/>
    <w:rsid w:val="00570D95"/>
    <w:rsid w:val="00571B19"/>
    <w:rsid w:val="00580B07"/>
    <w:rsid w:val="005A2395"/>
    <w:rsid w:val="005A550A"/>
    <w:rsid w:val="005C7BA1"/>
    <w:rsid w:val="005D2986"/>
    <w:rsid w:val="005D32BF"/>
    <w:rsid w:val="005D7E54"/>
    <w:rsid w:val="005E15B2"/>
    <w:rsid w:val="00605A77"/>
    <w:rsid w:val="00606D6E"/>
    <w:rsid w:val="00615017"/>
    <w:rsid w:val="00616C0D"/>
    <w:rsid w:val="00624699"/>
    <w:rsid w:val="00624ED9"/>
    <w:rsid w:val="00625D1B"/>
    <w:rsid w:val="00655736"/>
    <w:rsid w:val="006569DD"/>
    <w:rsid w:val="00661411"/>
    <w:rsid w:val="006653FC"/>
    <w:rsid w:val="00672BEE"/>
    <w:rsid w:val="00695310"/>
    <w:rsid w:val="006A4610"/>
    <w:rsid w:val="006B6741"/>
    <w:rsid w:val="006C78BB"/>
    <w:rsid w:val="006D050F"/>
    <w:rsid w:val="006D3BF1"/>
    <w:rsid w:val="006D4FCA"/>
    <w:rsid w:val="006E2236"/>
    <w:rsid w:val="006E478E"/>
    <w:rsid w:val="006F5A3A"/>
    <w:rsid w:val="00702152"/>
    <w:rsid w:val="007121D0"/>
    <w:rsid w:val="00721663"/>
    <w:rsid w:val="00744113"/>
    <w:rsid w:val="007558D7"/>
    <w:rsid w:val="00763E45"/>
    <w:rsid w:val="00771755"/>
    <w:rsid w:val="00772104"/>
    <w:rsid w:val="00774BC8"/>
    <w:rsid w:val="00780A83"/>
    <w:rsid w:val="007A68AD"/>
    <w:rsid w:val="007A7692"/>
    <w:rsid w:val="007A777C"/>
    <w:rsid w:val="007B1813"/>
    <w:rsid w:val="007B30A9"/>
    <w:rsid w:val="007B520C"/>
    <w:rsid w:val="007C70EC"/>
    <w:rsid w:val="007E7A46"/>
    <w:rsid w:val="008024C9"/>
    <w:rsid w:val="00803BF0"/>
    <w:rsid w:val="00810456"/>
    <w:rsid w:val="00813BA7"/>
    <w:rsid w:val="0082057A"/>
    <w:rsid w:val="008334F5"/>
    <w:rsid w:val="00845E58"/>
    <w:rsid w:val="00850170"/>
    <w:rsid w:val="00852028"/>
    <w:rsid w:val="0085470E"/>
    <w:rsid w:val="00874C83"/>
    <w:rsid w:val="0088125B"/>
    <w:rsid w:val="00897B0C"/>
    <w:rsid w:val="008A6B41"/>
    <w:rsid w:val="008B15BA"/>
    <w:rsid w:val="008C22E2"/>
    <w:rsid w:val="008D0A3C"/>
    <w:rsid w:val="008F388A"/>
    <w:rsid w:val="008F6149"/>
    <w:rsid w:val="009039C8"/>
    <w:rsid w:val="00906B75"/>
    <w:rsid w:val="009124C4"/>
    <w:rsid w:val="0092572B"/>
    <w:rsid w:val="0094536F"/>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75B43"/>
    <w:rsid w:val="00B84B92"/>
    <w:rsid w:val="00B977AB"/>
    <w:rsid w:val="00B97928"/>
    <w:rsid w:val="00BA2344"/>
    <w:rsid w:val="00BA55C4"/>
    <w:rsid w:val="00BB031B"/>
    <w:rsid w:val="00C0019F"/>
    <w:rsid w:val="00C0023E"/>
    <w:rsid w:val="00C003C0"/>
    <w:rsid w:val="00C16EC4"/>
    <w:rsid w:val="00C23535"/>
    <w:rsid w:val="00C257BC"/>
    <w:rsid w:val="00C37176"/>
    <w:rsid w:val="00C42933"/>
    <w:rsid w:val="00C66E3D"/>
    <w:rsid w:val="00C70A3F"/>
    <w:rsid w:val="00C73D19"/>
    <w:rsid w:val="00C7664A"/>
    <w:rsid w:val="00C96DC3"/>
    <w:rsid w:val="00CC57CD"/>
    <w:rsid w:val="00CE6391"/>
    <w:rsid w:val="00D05A2B"/>
    <w:rsid w:val="00D11CA5"/>
    <w:rsid w:val="00D13645"/>
    <w:rsid w:val="00D21862"/>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8C8"/>
    <w:rsid w:val="00E94C22"/>
    <w:rsid w:val="00E95910"/>
    <w:rsid w:val="00EA3D66"/>
    <w:rsid w:val="00EB06E0"/>
    <w:rsid w:val="00EC4BDD"/>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25C91"/>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C98B2-60EA-4EEC-B580-E2CD277BD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859</Words>
  <Characters>4726</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3</cp:revision>
  <cp:lastPrinted>2017-12-13T20:03:00Z</cp:lastPrinted>
  <dcterms:created xsi:type="dcterms:W3CDTF">2018-02-14T19:34:00Z</dcterms:created>
  <dcterms:modified xsi:type="dcterms:W3CDTF">2018-02-16T17:40:00Z</dcterms:modified>
</cp:coreProperties>
</file>